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4</w:t>
      </w:r>
      <w:r>
        <w:rPr>
          <w:rFonts w:eastAsia="华文中宋"/>
          <w:b/>
          <w:sz w:val="30"/>
          <w:szCs w:val="30"/>
          <w:highlight w:val="none"/>
        </w:rPr>
        <w:t>年度专业技术职务评审资格审查表</w:t>
      </w:r>
    </w:p>
    <w:p>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50"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59"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孙会</w:t>
            </w:r>
          </w:p>
        </w:tc>
        <w:tc>
          <w:tcPr>
            <w:tcW w:w="597"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68"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马克思主义学院·</w:t>
            </w:r>
          </w:p>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医学人文学院</w:t>
            </w:r>
          </w:p>
        </w:tc>
        <w:tc>
          <w:tcPr>
            <w:tcW w:w="683"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33"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521"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688"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1988年10月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59" w:type="pct"/>
            <w:tcBorders>
              <w:left w:val="single" w:color="auto" w:sz="6" w:space="0"/>
              <w:bottom w:val="single" w:color="auto" w:sz="6" w:space="0"/>
              <w:right w:val="single" w:color="auto" w:sz="6"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2021年10月</w:t>
            </w:r>
          </w:p>
        </w:tc>
        <w:tc>
          <w:tcPr>
            <w:tcW w:w="597"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68" w:type="pct"/>
            <w:tcBorders>
              <w:left w:val="single" w:color="auto" w:sz="6" w:space="0"/>
              <w:bottom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博士研究生</w:t>
            </w:r>
          </w:p>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2021年9月</w:t>
            </w:r>
          </w:p>
        </w:tc>
        <w:tc>
          <w:tcPr>
            <w:tcW w:w="683"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33" w:type="pct"/>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w:t>
            </w:r>
          </w:p>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2021年9月</w:t>
            </w:r>
          </w:p>
        </w:tc>
        <w:tc>
          <w:tcPr>
            <w:tcW w:w="521"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88" w:type="pct"/>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2022年7月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50" w:type="pct"/>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559"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讲师</w:t>
            </w:r>
          </w:p>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2021年12月</w:t>
            </w:r>
          </w:p>
        </w:tc>
        <w:tc>
          <w:tcPr>
            <w:tcW w:w="597"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668" w:type="pct"/>
            <w:tcBorders>
              <w:top w:val="single" w:color="auto" w:sz="6" w:space="0"/>
              <w:left w:val="single" w:color="auto" w:sz="6" w:space="0"/>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教师系列</w:t>
            </w:r>
          </w:p>
        </w:tc>
        <w:tc>
          <w:tcPr>
            <w:tcW w:w="683" w:type="pct"/>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733" w:type="pct"/>
            <w:tcBorders>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教学为主型</w:t>
            </w:r>
          </w:p>
        </w:tc>
        <w:tc>
          <w:tcPr>
            <w:tcW w:w="521" w:type="pct"/>
            <w:tcBorders>
              <w:bottom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688" w:type="pct"/>
            <w:tcBorders>
              <w:bottom w:val="single" w:color="auto" w:sz="4" w:space="0"/>
            </w:tcBorders>
            <w:vAlign w:val="center"/>
          </w:tcPr>
          <w:p>
            <w:pPr>
              <w:spacing w:after="0" w:line="240" w:lineRule="auto"/>
              <w:jc w:val="center"/>
              <w:rPr>
                <w:rFonts w:hint="default" w:ascii="KaiTi_GB2312" w:eastAsia="KaiTi_GB2312"/>
                <w:sz w:val="18"/>
                <w:szCs w:val="18"/>
                <w:highlight w:val="none"/>
                <w:lang w:val="en-US" w:eastAsia="zh-CN"/>
              </w:rPr>
            </w:pPr>
            <w:r>
              <w:rPr>
                <w:rFonts w:hint="eastAsia" w:ascii="KaiTi_GB2312" w:eastAsia="KaiTi_GB2312"/>
                <w:sz w:val="18"/>
                <w:szCs w:val="18"/>
                <w:highlight w:val="none"/>
                <w:lang w:val="en-US" w:eastAsia="zh-CN"/>
              </w:rPr>
              <w:t>科学技术哲学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副教授</w:t>
            </w:r>
          </w:p>
        </w:tc>
        <w:tc>
          <w:tcPr>
            <w:tcW w:w="683"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1942" w:type="pct"/>
            <w:gridSpan w:val="3"/>
            <w:tcBorders>
              <w:top w:val="single" w:color="auto" w:sz="4" w:space="0"/>
              <w:left w:val="single" w:color="auto" w:sz="4" w:space="0"/>
              <w:bottom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pPr>
        <w:spacing w:after="0" w:line="20" w:lineRule="exact"/>
        <w:rPr>
          <w:sz w:val="10"/>
          <w:szCs w:val="10"/>
          <w:highlight w:val="none"/>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808"/>
        <w:gridCol w:w="1169"/>
        <w:gridCol w:w="1183"/>
        <w:gridCol w:w="1544"/>
        <w:gridCol w:w="1724"/>
        <w:gridCol w:w="2260"/>
        <w:gridCol w:w="243"/>
        <w:gridCol w:w="851"/>
        <w:gridCol w:w="836"/>
        <w:gridCol w:w="713"/>
        <w:gridCol w:w="1790"/>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80" w:hRule="atLeast"/>
        </w:trPr>
        <w:tc>
          <w:tcPr>
            <w:tcW w:w="413"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学年</w:t>
            </w:r>
          </w:p>
        </w:tc>
        <w:tc>
          <w:tcPr>
            <w:tcW w:w="408"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413"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539"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600"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874" w:type="pct"/>
            <w:gridSpan w:val="2"/>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297"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541" w:type="pct"/>
            <w:gridSpan w:val="2"/>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623" w:type="pct"/>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3</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230.4</w:t>
            </w:r>
          </w:p>
        </w:tc>
        <w:tc>
          <w:tcPr>
            <w:tcW w:w="413" w:type="pct"/>
            <w:tcBorders>
              <w:top w:val="single" w:color="auto" w:sz="6" w:space="0"/>
              <w:left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秋季</w:t>
            </w: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研究生思政课</w:t>
            </w:r>
          </w:p>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本科生公选课</w:t>
            </w: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全校研究生</w:t>
            </w:r>
          </w:p>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全校</w:t>
            </w:r>
          </w:p>
        </w:tc>
        <w:tc>
          <w:tcPr>
            <w:tcW w:w="874" w:type="pct"/>
            <w:gridSpan w:val="2"/>
            <w:vAlign w:val="center"/>
          </w:tcPr>
          <w:p>
            <w:pPr>
              <w:spacing w:after="0" w:line="240" w:lineRule="auto"/>
              <w:jc w:val="center"/>
              <w:rPr>
                <w:rFonts w:hint="eastAsia" w:ascii="KaiTi_GB2312" w:eastAsia="KaiTi_GB2312"/>
                <w:highlight w:val="none"/>
                <w:lang w:eastAsia="zh-CN"/>
              </w:rPr>
            </w:pPr>
            <w:r>
              <w:rPr>
                <w:rFonts w:hint="eastAsia" w:ascii="KaiTi_GB2312" w:eastAsia="KaiTi_GB2312"/>
                <w:highlight w:val="none"/>
                <w:lang w:eastAsia="zh-CN"/>
              </w:rPr>
              <w:t>《</w:t>
            </w:r>
            <w:r>
              <w:rPr>
                <w:rFonts w:hint="eastAsia" w:ascii="KaiTi_GB2312" w:eastAsia="KaiTi_GB2312"/>
                <w:highlight w:val="none"/>
                <w:lang w:val="en-US" w:eastAsia="zh-CN"/>
              </w:rPr>
              <w:t>新时代中国特色社会主义理论与实践</w:t>
            </w:r>
            <w:r>
              <w:rPr>
                <w:rFonts w:hint="eastAsia" w:ascii="KaiTi_GB2312" w:eastAsia="KaiTi_GB2312"/>
                <w:highlight w:val="none"/>
                <w:lang w:eastAsia="zh-CN"/>
              </w:rPr>
              <w:t>》、《</w:t>
            </w:r>
            <w:r>
              <w:rPr>
                <w:rFonts w:hint="eastAsia" w:ascii="KaiTi_GB2312" w:eastAsia="KaiTi_GB2312"/>
                <w:highlight w:val="none"/>
                <w:lang w:val="en-US" w:eastAsia="zh-CN"/>
              </w:rPr>
              <w:t>自然辩证法概论</w:t>
            </w:r>
            <w:r>
              <w:rPr>
                <w:rFonts w:hint="eastAsia" w:ascii="KaiTi_GB2312" w:eastAsia="KaiTi_GB2312"/>
                <w:highlight w:val="none"/>
                <w:lang w:eastAsia="zh-CN"/>
              </w:rPr>
              <w:t>》；《</w:t>
            </w:r>
            <w:r>
              <w:rPr>
                <w:rFonts w:hint="eastAsia" w:ascii="KaiTi_GB2312" w:eastAsia="KaiTi_GB2312"/>
                <w:highlight w:val="none"/>
                <w:lang w:val="en-US" w:eastAsia="zh-CN"/>
              </w:rPr>
              <w:t>逻辑学</w:t>
            </w:r>
            <w:r>
              <w:rPr>
                <w:rFonts w:hint="eastAsia" w:ascii="KaiTi_GB2312" w:eastAsia="KaiTi_GB2312"/>
                <w:highlight w:val="none"/>
                <w:lang w:eastAsia="zh-CN"/>
              </w:rPr>
              <w:t>》</w:t>
            </w:r>
          </w:p>
        </w:tc>
        <w:tc>
          <w:tcPr>
            <w:tcW w:w="297"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230.4</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61"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left w:val="single" w:color="auto" w:sz="6" w:space="0"/>
              <w:bottom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春季</w:t>
            </w: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74" w:type="pct"/>
            <w:gridSpan w:val="2"/>
            <w:vAlign w:val="center"/>
          </w:tcPr>
          <w:p>
            <w:pPr>
              <w:spacing w:after="0" w:line="240" w:lineRule="auto"/>
              <w:jc w:val="center"/>
              <w:rPr>
                <w:rFonts w:ascii="KaiTi_GB2312" w:eastAsia="KaiTi_GB2312"/>
                <w:highlight w:val="none"/>
              </w:rPr>
            </w:pPr>
          </w:p>
        </w:tc>
        <w:tc>
          <w:tcPr>
            <w:tcW w:w="297" w:type="pct"/>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休产假</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2</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345.6</w:t>
            </w:r>
          </w:p>
        </w:tc>
        <w:tc>
          <w:tcPr>
            <w:tcW w:w="413" w:type="pct"/>
            <w:tcBorders>
              <w:top w:val="single" w:color="auto" w:sz="6" w:space="0"/>
              <w:left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秋季</w:t>
            </w: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研究生思政课</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本科生公选课</w:t>
            </w: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全校研究生</w:t>
            </w:r>
          </w:p>
          <w:p>
            <w:pPr>
              <w:spacing w:after="0" w:line="240" w:lineRule="auto"/>
              <w:jc w:val="center"/>
              <w:rPr>
                <w:rFonts w:ascii="KaiTi_GB2312" w:eastAsia="KaiTi_GB2312"/>
                <w:highlight w:val="none"/>
              </w:rPr>
            </w:pPr>
            <w:r>
              <w:rPr>
                <w:rFonts w:hint="eastAsia" w:ascii="KaiTi_GB2312" w:eastAsia="KaiTi_GB2312"/>
                <w:highlight w:val="none"/>
                <w:lang w:val="en-US" w:eastAsia="zh-CN"/>
              </w:rPr>
              <w:t>全校</w:t>
            </w:r>
          </w:p>
        </w:tc>
        <w:tc>
          <w:tcPr>
            <w:tcW w:w="874" w:type="pct"/>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lang w:eastAsia="zh-CN"/>
              </w:rPr>
              <w:t>《</w:t>
            </w:r>
            <w:r>
              <w:rPr>
                <w:rFonts w:hint="eastAsia" w:ascii="KaiTi_GB2312" w:eastAsia="KaiTi_GB2312"/>
                <w:highlight w:val="none"/>
                <w:lang w:val="en-US" w:eastAsia="zh-CN"/>
              </w:rPr>
              <w:t>新时代中国特色社会主义理论与实践</w:t>
            </w:r>
            <w:r>
              <w:rPr>
                <w:rFonts w:hint="eastAsia" w:ascii="KaiTi_GB2312" w:eastAsia="KaiTi_GB2312"/>
                <w:highlight w:val="none"/>
                <w:lang w:eastAsia="zh-CN"/>
              </w:rPr>
              <w:t>》、《</w:t>
            </w:r>
            <w:r>
              <w:rPr>
                <w:rFonts w:hint="eastAsia" w:ascii="KaiTi_GB2312" w:eastAsia="KaiTi_GB2312"/>
                <w:highlight w:val="none"/>
                <w:lang w:val="en-US" w:eastAsia="zh-CN"/>
              </w:rPr>
              <w:t>自然辩证法概论</w:t>
            </w:r>
            <w:r>
              <w:rPr>
                <w:rFonts w:hint="eastAsia" w:ascii="KaiTi_GB2312" w:eastAsia="KaiTi_GB2312"/>
                <w:highlight w:val="none"/>
                <w:lang w:eastAsia="zh-CN"/>
              </w:rPr>
              <w:t>》；《</w:t>
            </w:r>
            <w:r>
              <w:rPr>
                <w:rFonts w:hint="eastAsia" w:ascii="KaiTi_GB2312" w:eastAsia="KaiTi_GB2312"/>
                <w:highlight w:val="none"/>
                <w:lang w:val="en-US" w:eastAsia="zh-CN"/>
              </w:rPr>
              <w:t>逻辑学</w:t>
            </w:r>
            <w:r>
              <w:rPr>
                <w:rFonts w:hint="eastAsia" w:ascii="KaiTi_GB2312" w:eastAsia="KaiTi_GB2312"/>
                <w:highlight w:val="none"/>
                <w:lang w:eastAsia="zh-CN"/>
              </w:rPr>
              <w:t>》</w:t>
            </w:r>
          </w:p>
        </w:tc>
        <w:tc>
          <w:tcPr>
            <w:tcW w:w="297" w:type="pct"/>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230.4</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90"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left w:val="single" w:color="auto" w:sz="6" w:space="0"/>
              <w:bottom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春季</w:t>
            </w: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本科生限选课</w:t>
            </w:r>
          </w:p>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校公选课</w:t>
            </w:r>
          </w:p>
          <w:p>
            <w:pPr>
              <w:spacing w:after="0" w:line="240" w:lineRule="auto"/>
              <w:jc w:val="center"/>
              <w:rPr>
                <w:rFonts w:hint="eastAsia" w:ascii="KaiTi_GB2312" w:eastAsia="KaiTi_GB2312"/>
                <w:highlight w:val="none"/>
                <w:lang w:val="en-US" w:eastAsia="zh-CN"/>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公管类21;公管211;公管212</w:t>
            </w:r>
          </w:p>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全校</w:t>
            </w:r>
          </w:p>
        </w:tc>
        <w:tc>
          <w:tcPr>
            <w:tcW w:w="874" w:type="pct"/>
            <w:gridSpan w:val="2"/>
            <w:vAlign w:val="center"/>
          </w:tcPr>
          <w:p>
            <w:pPr>
              <w:spacing w:after="0" w:line="240" w:lineRule="auto"/>
              <w:jc w:val="center"/>
              <w:rPr>
                <w:rFonts w:hint="default" w:ascii="KaiTi_GB2312" w:eastAsia="KaiTi_GB2312"/>
                <w:highlight w:val="none"/>
                <w:lang w:val="en-US"/>
              </w:rPr>
            </w:pPr>
            <w:r>
              <w:rPr>
                <w:rFonts w:hint="eastAsia" w:ascii="KaiTi_GB2312" w:eastAsia="KaiTi_GB2312"/>
                <w:highlight w:val="none"/>
                <w:lang w:eastAsia="zh-CN"/>
              </w:rPr>
              <w:t>《</w:t>
            </w:r>
            <w:r>
              <w:rPr>
                <w:rFonts w:hint="eastAsia" w:ascii="KaiTi_GB2312" w:eastAsia="KaiTi_GB2312"/>
                <w:highlight w:val="none"/>
                <w:lang w:val="en-US" w:eastAsia="zh-CN"/>
              </w:rPr>
              <w:t>逻辑学</w:t>
            </w:r>
            <w:r>
              <w:rPr>
                <w:rFonts w:hint="eastAsia" w:ascii="KaiTi_GB2312" w:eastAsia="KaiTi_GB2312"/>
                <w:highlight w:val="none"/>
                <w:lang w:eastAsia="zh-CN"/>
              </w:rPr>
              <w:t>》</w:t>
            </w:r>
          </w:p>
        </w:tc>
        <w:tc>
          <w:tcPr>
            <w:tcW w:w="297"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115.2</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561"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230.4</w:t>
            </w:r>
          </w:p>
        </w:tc>
        <w:tc>
          <w:tcPr>
            <w:tcW w:w="413" w:type="pct"/>
            <w:tcBorders>
              <w:top w:val="single" w:color="auto" w:sz="6" w:space="0"/>
              <w:left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秋季</w:t>
            </w: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研究生思政课</w:t>
            </w: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全校研究生</w:t>
            </w:r>
          </w:p>
        </w:tc>
        <w:tc>
          <w:tcPr>
            <w:tcW w:w="874" w:type="pct"/>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lang w:eastAsia="zh-CN"/>
              </w:rPr>
              <w:t>《</w:t>
            </w:r>
            <w:r>
              <w:rPr>
                <w:rFonts w:hint="eastAsia" w:ascii="KaiTi_GB2312" w:eastAsia="KaiTi_GB2312"/>
                <w:highlight w:val="none"/>
                <w:lang w:val="en-US" w:eastAsia="zh-CN"/>
              </w:rPr>
              <w:t>新时代中国特色社会主义理论与实践</w:t>
            </w:r>
            <w:r>
              <w:rPr>
                <w:rFonts w:hint="eastAsia" w:ascii="KaiTi_GB2312" w:eastAsia="KaiTi_GB2312"/>
                <w:highlight w:val="none"/>
                <w:lang w:eastAsia="zh-CN"/>
              </w:rPr>
              <w:t>》</w:t>
            </w:r>
          </w:p>
        </w:tc>
        <w:tc>
          <w:tcPr>
            <w:tcW w:w="297" w:type="pct"/>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230.4</w:t>
            </w: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74" w:type="pct"/>
            <w:gridSpan w:val="2"/>
            <w:vAlign w:val="center"/>
          </w:tcPr>
          <w:p>
            <w:pPr>
              <w:spacing w:after="0" w:line="240" w:lineRule="auto"/>
              <w:jc w:val="center"/>
              <w:rPr>
                <w:rFonts w:ascii="KaiTi_GB2312" w:eastAsia="KaiTi_GB2312"/>
                <w:highlight w:val="none"/>
              </w:rPr>
            </w:pPr>
          </w:p>
        </w:tc>
        <w:tc>
          <w:tcPr>
            <w:tcW w:w="297"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74" w:type="pct"/>
            <w:gridSpan w:val="2"/>
            <w:vAlign w:val="center"/>
          </w:tcPr>
          <w:p>
            <w:pPr>
              <w:spacing w:after="0" w:line="240" w:lineRule="auto"/>
              <w:jc w:val="center"/>
              <w:rPr>
                <w:rFonts w:ascii="KaiTi_GB2312" w:eastAsia="KaiTi_GB2312"/>
                <w:highlight w:val="none"/>
              </w:rPr>
            </w:pPr>
          </w:p>
        </w:tc>
        <w:tc>
          <w:tcPr>
            <w:tcW w:w="297"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39"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74" w:type="pct"/>
            <w:gridSpan w:val="2"/>
            <w:vAlign w:val="center"/>
          </w:tcPr>
          <w:p>
            <w:pPr>
              <w:spacing w:after="0" w:line="240" w:lineRule="auto"/>
              <w:jc w:val="center"/>
              <w:rPr>
                <w:rFonts w:ascii="KaiTi_GB2312" w:eastAsia="KaiTi_GB2312"/>
                <w:highlight w:val="none"/>
              </w:rPr>
            </w:pPr>
          </w:p>
        </w:tc>
        <w:tc>
          <w:tcPr>
            <w:tcW w:w="297"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9</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top w:val="single" w:color="auto" w:sz="6" w:space="0"/>
              <w:left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39"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sz w:val="10"/>
                <w:szCs w:val="10"/>
                <w:highlight w:val="none"/>
              </w:rPr>
            </w:pPr>
          </w:p>
        </w:tc>
        <w:tc>
          <w:tcPr>
            <w:tcW w:w="874" w:type="pct"/>
            <w:gridSpan w:val="2"/>
            <w:vAlign w:val="center"/>
          </w:tcPr>
          <w:p>
            <w:pPr>
              <w:spacing w:after="0" w:line="240" w:lineRule="auto"/>
              <w:jc w:val="center"/>
              <w:rPr>
                <w:rFonts w:ascii="KaiTi_GB2312" w:eastAsia="KaiTi_GB2312"/>
                <w:highlight w:val="none"/>
              </w:rPr>
            </w:pPr>
          </w:p>
        </w:tc>
        <w:tc>
          <w:tcPr>
            <w:tcW w:w="297"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31" w:hRule="atLeast"/>
        </w:trPr>
        <w:tc>
          <w:tcPr>
            <w:tcW w:w="413"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8" w:type="pct"/>
            <w:vMerge w:val="continue"/>
            <w:tcBorders>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413" w:type="pct"/>
            <w:tcBorders>
              <w:left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39"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600"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74" w:type="pct"/>
            <w:gridSpan w:val="2"/>
            <w:vAlign w:val="center"/>
          </w:tcPr>
          <w:p>
            <w:pPr>
              <w:spacing w:after="0" w:line="240" w:lineRule="auto"/>
              <w:jc w:val="center"/>
              <w:rPr>
                <w:rFonts w:ascii="KaiTi_GB2312" w:eastAsia="KaiTi_GB2312"/>
                <w:highlight w:val="none"/>
              </w:rPr>
            </w:pPr>
          </w:p>
        </w:tc>
        <w:tc>
          <w:tcPr>
            <w:tcW w:w="297" w:type="pct"/>
            <w:vAlign w:val="center"/>
          </w:tcPr>
          <w:p>
            <w:pPr>
              <w:spacing w:after="0" w:line="240" w:lineRule="auto"/>
              <w:jc w:val="center"/>
              <w:rPr>
                <w:rFonts w:ascii="KaiTi_GB2312" w:eastAsia="KaiTi_GB2312"/>
                <w:highlight w:val="none"/>
              </w:rPr>
            </w:pPr>
          </w:p>
        </w:tc>
        <w:tc>
          <w:tcPr>
            <w:tcW w:w="541" w:type="pct"/>
            <w:gridSpan w:val="2"/>
            <w:vAlign w:val="center"/>
          </w:tcPr>
          <w:p>
            <w:pPr>
              <w:spacing w:after="0" w:line="240" w:lineRule="auto"/>
              <w:jc w:val="center"/>
              <w:rPr>
                <w:rFonts w:ascii="KaiTi_GB2312" w:eastAsia="KaiTi_GB2312"/>
                <w:highlight w:val="none"/>
              </w:rPr>
            </w:pPr>
          </w:p>
        </w:tc>
        <w:tc>
          <w:tcPr>
            <w:tcW w:w="623"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44" w:hRule="atLeast"/>
        </w:trPr>
        <w:tc>
          <w:tcPr>
            <w:tcW w:w="413" w:type="pct"/>
            <w:vMerge w:val="continue"/>
            <w:tcBorders>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2244" w:type="pct"/>
            <w:gridSpan w:val="5"/>
            <w:tcBorders>
              <w:left w:val="single" w:color="auto" w:sz="6" w:space="0"/>
              <w:bottom w:val="single" w:color="auto" w:sz="6" w:space="0"/>
            </w:tcBorders>
            <w:vAlign w:val="center"/>
          </w:tcPr>
          <w:p>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2337" w:type="pct"/>
            <w:gridSpan w:val="6"/>
            <w:tcBorders>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403.2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657" w:type="pct"/>
            <w:gridSpan w:val="6"/>
            <w:tcBorders>
              <w:top w:val="single" w:color="auto" w:sz="6" w:space="0"/>
              <w:bottom w:val="single" w:color="auto" w:sz="6" w:space="0"/>
            </w:tcBorders>
            <w:vAlign w:val="center"/>
          </w:tcPr>
          <w:p>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789"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□符合    □不符合</w:t>
            </w:r>
          </w:p>
        </w:tc>
        <w:tc>
          <w:tcPr>
            <w:tcW w:w="674" w:type="pct"/>
            <w:gridSpan w:val="3"/>
            <w:vAlign w:val="center"/>
          </w:tcPr>
          <w:p>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878" w:type="pct"/>
            <w:gridSpan w:val="3"/>
            <w:vAlign w:val="center"/>
          </w:tcPr>
          <w:p>
            <w:pPr>
              <w:spacing w:after="0" w:line="240" w:lineRule="auto"/>
              <w:jc w:val="center"/>
              <w:rPr>
                <w:rFonts w:ascii="KaiTi_GB2312" w:eastAsia="KaiTi_GB2312"/>
                <w:highlight w:val="none"/>
              </w:rPr>
            </w:pPr>
          </w:p>
        </w:tc>
      </w:tr>
    </w:tbl>
    <w:p>
      <w:pPr>
        <w:spacing w:after="0" w:line="240" w:lineRule="auto"/>
        <w:rPr>
          <w:vanish/>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728"/>
        <w:gridCol w:w="1560"/>
        <w:gridCol w:w="798"/>
        <w:gridCol w:w="720"/>
        <w:gridCol w:w="995"/>
        <w:gridCol w:w="1511"/>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72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56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798"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995" w:type="dxa"/>
            <w:tcBorders>
              <w:bottom w:val="single" w:color="auto" w:sz="4" w:space="0"/>
            </w:tcBorders>
            <w:vAlign w:val="center"/>
          </w:tcPr>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511" w:type="dxa"/>
            <w:tcBorders>
              <w:bottom w:val="single" w:color="auto" w:sz="4" w:space="0"/>
            </w:tcBorders>
            <w:vAlign w:val="center"/>
          </w:tcPr>
          <w:p>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583"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以中医药“五种资源”优势赋能思政课培根铸魂</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新华日报</w:t>
            </w: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第27160期</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14-14</w:t>
            </w:r>
          </w:p>
        </w:tc>
        <w:tc>
          <w:tcPr>
            <w:tcW w:w="9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黑体"/>
                <w:sz w:val="21"/>
                <w:szCs w:val="21"/>
                <w:highlight w:val="none"/>
                <w:lang w:val="en-US" w:eastAsia="zh-CN"/>
              </w:rPr>
            </w:pPr>
            <w:r>
              <w:rPr>
                <w:rFonts w:hint="eastAsia" w:ascii="黑体" w:hAnsi="黑体" w:eastAsia="黑体"/>
                <w:spacing w:val="-11"/>
                <w:sz w:val="21"/>
                <w:szCs w:val="21"/>
                <w:highlight w:val="none"/>
              </w:rPr>
              <w:t>202</w:t>
            </w:r>
            <w:r>
              <w:rPr>
                <w:rFonts w:hint="eastAsia" w:ascii="黑体" w:hAnsi="黑体" w:eastAsia="黑体"/>
                <w:spacing w:val="-11"/>
                <w:sz w:val="21"/>
                <w:szCs w:val="21"/>
                <w:highlight w:val="none"/>
                <w:lang w:val="en-US" w:eastAsia="zh-CN"/>
              </w:rPr>
              <w:t>3</w:t>
            </w:r>
            <w:r>
              <w:rPr>
                <w:rFonts w:hint="eastAsia" w:ascii="黑体" w:hAnsi="黑体" w:eastAsia="黑体"/>
                <w:spacing w:val="-11"/>
                <w:sz w:val="21"/>
                <w:szCs w:val="21"/>
                <w:highlight w:val="none"/>
              </w:rPr>
              <w:t>.</w:t>
            </w:r>
            <w:r>
              <w:rPr>
                <w:rFonts w:hint="eastAsia" w:ascii="黑体" w:hAnsi="黑体" w:eastAsia="黑体"/>
                <w:spacing w:val="-11"/>
                <w:sz w:val="21"/>
                <w:szCs w:val="21"/>
                <w:highlight w:val="none"/>
                <w:lang w:val="en-US" w:eastAsia="zh-CN"/>
              </w:rPr>
              <w:t>12</w:t>
            </w:r>
          </w:p>
        </w:tc>
        <w:tc>
          <w:tcPr>
            <w:tcW w:w="151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孙会</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left"/>
              <w:rPr>
                <w:rFonts w:ascii="KaiTi_GB2312" w:eastAsia="KaiTi_GB2312"/>
                <w:sz w:val="21"/>
                <w:szCs w:val="21"/>
                <w:highlight w:val="none"/>
              </w:rPr>
            </w:pPr>
            <w:r>
              <w:rPr>
                <w:rFonts w:hint="eastAsia" w:ascii="KaiTi_GB2312" w:eastAsia="KaiTi_GB2312"/>
                <w:sz w:val="21"/>
                <w:szCs w:val="21"/>
                <w:highlight w:val="none"/>
              </w:rPr>
              <w:t>中华优秀传统文化融入高校思政课的三重维度——以中医药文化为例</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成都中医药大学学报（教育科学版）</w:t>
            </w: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第26卷第1期</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86-90</w:t>
            </w:r>
          </w:p>
        </w:tc>
        <w:tc>
          <w:tcPr>
            <w:tcW w:w="9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1"/>
                <w:szCs w:val="21"/>
                <w:highlight w:val="none"/>
                <w:lang w:val="en-US"/>
              </w:rPr>
            </w:pPr>
            <w:r>
              <w:rPr>
                <w:rFonts w:hint="eastAsia" w:ascii="黑体" w:hAnsi="黑体" w:eastAsia="黑体"/>
                <w:spacing w:val="-11"/>
                <w:sz w:val="21"/>
                <w:szCs w:val="21"/>
                <w:highlight w:val="none"/>
              </w:rPr>
              <w:t>202</w:t>
            </w:r>
            <w:r>
              <w:rPr>
                <w:rFonts w:hint="eastAsia" w:ascii="黑体" w:hAnsi="黑体" w:eastAsia="黑体"/>
                <w:spacing w:val="-11"/>
                <w:sz w:val="21"/>
                <w:szCs w:val="21"/>
                <w:highlight w:val="none"/>
                <w:lang w:val="en-US" w:eastAsia="zh-CN"/>
              </w:rPr>
              <w:t>4</w:t>
            </w:r>
            <w:r>
              <w:rPr>
                <w:rFonts w:hint="eastAsia" w:ascii="黑体" w:hAnsi="黑体" w:eastAsia="黑体"/>
                <w:spacing w:val="-11"/>
                <w:sz w:val="21"/>
                <w:szCs w:val="21"/>
                <w:highlight w:val="none"/>
              </w:rPr>
              <w:t>.</w:t>
            </w:r>
            <w:r>
              <w:rPr>
                <w:rFonts w:hint="eastAsia" w:ascii="黑体" w:hAnsi="黑体" w:eastAsia="黑体"/>
                <w:spacing w:val="-11"/>
                <w:sz w:val="21"/>
                <w:szCs w:val="21"/>
                <w:highlight w:val="none"/>
                <w:lang w:val="en-US" w:eastAsia="zh-CN"/>
              </w:rPr>
              <w:t>03</w:t>
            </w:r>
          </w:p>
        </w:tc>
        <w:tc>
          <w:tcPr>
            <w:tcW w:w="151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第一作者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孙会  张洪雷</w:t>
            </w:r>
            <w:r>
              <w:rPr>
                <w:rFonts w:hint="eastAsia" w:ascii="KaiTi_GB2312" w:eastAsia="KaiTi_GB2312"/>
                <w:sz w:val="21"/>
                <w:szCs w:val="21"/>
                <w:highlight w:val="none"/>
                <w:vertAlign w:val="superscript"/>
                <w:lang w:val="en-US" w:eastAsia="zh-CN"/>
              </w:rPr>
              <w:t>*</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9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1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995"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11"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rPr>
              <w:t>抑郁症哲学治疗践行可行性探讨</w:t>
            </w:r>
          </w:p>
        </w:tc>
        <w:tc>
          <w:tcPr>
            <w:tcW w:w="1560"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rPr>
              <w:t>医学与哲学</w:t>
            </w:r>
          </w:p>
        </w:tc>
        <w:tc>
          <w:tcPr>
            <w:tcW w:w="798" w:type="dxa"/>
            <w:tcBorders>
              <w:top w:val="single" w:color="auto" w:sz="12"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第43卷第21期</w:t>
            </w:r>
          </w:p>
        </w:tc>
        <w:tc>
          <w:tcPr>
            <w:tcW w:w="720" w:type="dxa"/>
            <w:tcBorders>
              <w:top w:val="single" w:color="auto" w:sz="12"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50-54</w:t>
            </w:r>
          </w:p>
        </w:tc>
        <w:tc>
          <w:tcPr>
            <w:tcW w:w="995"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黑体" w:hAnsi="黑体" w:eastAsia="黑体"/>
                <w:spacing w:val="-11"/>
                <w:sz w:val="21"/>
                <w:szCs w:val="21"/>
                <w:highlight w:val="none"/>
              </w:rPr>
              <w:t>202</w:t>
            </w:r>
            <w:r>
              <w:rPr>
                <w:rFonts w:hint="eastAsia" w:ascii="黑体" w:hAnsi="黑体" w:eastAsia="黑体"/>
                <w:spacing w:val="-11"/>
                <w:sz w:val="21"/>
                <w:szCs w:val="21"/>
                <w:highlight w:val="none"/>
                <w:lang w:val="en-US" w:eastAsia="zh-CN"/>
              </w:rPr>
              <w:t>1</w:t>
            </w:r>
            <w:r>
              <w:rPr>
                <w:rFonts w:hint="eastAsia" w:ascii="黑体" w:hAnsi="黑体" w:eastAsia="黑体"/>
                <w:spacing w:val="-11"/>
                <w:sz w:val="21"/>
                <w:szCs w:val="21"/>
                <w:highlight w:val="none"/>
              </w:rPr>
              <w:t>.</w:t>
            </w:r>
            <w:r>
              <w:rPr>
                <w:rFonts w:hint="eastAsia" w:ascii="黑体" w:hAnsi="黑体" w:eastAsia="黑体"/>
                <w:spacing w:val="-11"/>
                <w:sz w:val="21"/>
                <w:szCs w:val="21"/>
                <w:highlight w:val="none"/>
                <w:lang w:val="en-US" w:eastAsia="zh-CN"/>
              </w:rPr>
              <w:t>11</w:t>
            </w:r>
          </w:p>
        </w:tc>
        <w:tc>
          <w:tcPr>
            <w:tcW w:w="1511" w:type="dxa"/>
            <w:tcBorders>
              <w:top w:val="single" w:color="auto" w:sz="12"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第一作者</w:t>
            </w:r>
          </w:p>
        </w:tc>
        <w:tc>
          <w:tcPr>
            <w:tcW w:w="2775" w:type="dxa"/>
            <w:tcBorders>
              <w:top w:val="single" w:color="auto" w:sz="12" w:space="0"/>
            </w:tcBorders>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1"/>
                <w:szCs w:val="21"/>
                <w:highlight w:val="none"/>
                <w:lang w:val="en-US" w:eastAsia="zh-CN"/>
              </w:rPr>
              <w:t>孙会</w:t>
            </w:r>
          </w:p>
        </w:tc>
        <w:tc>
          <w:tcPr>
            <w:tcW w:w="720" w:type="dxa"/>
            <w:tcBorders>
              <w:top w:val="single" w:color="auto" w:sz="12" w:space="0"/>
            </w:tcBorders>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北大核心</w:t>
            </w:r>
          </w:p>
        </w:tc>
        <w:tc>
          <w:tcPr>
            <w:tcW w:w="88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孰是孰非？芒福德与雅各布斯人文城市思想比较及其当代价值</w:t>
            </w:r>
          </w:p>
        </w:tc>
        <w:tc>
          <w:tcPr>
            <w:tcW w:w="156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rPr>
              <w:t>国际城市规划</w:t>
            </w:r>
          </w:p>
        </w:tc>
        <w:tc>
          <w:tcPr>
            <w:tcW w:w="798"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第38卷第1期</w:t>
            </w:r>
          </w:p>
        </w:tc>
        <w:tc>
          <w:tcPr>
            <w:tcW w:w="720"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59-64</w:t>
            </w:r>
          </w:p>
        </w:tc>
        <w:tc>
          <w:tcPr>
            <w:tcW w:w="995"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2023.02</w:t>
            </w:r>
          </w:p>
        </w:tc>
        <w:tc>
          <w:tcPr>
            <w:tcW w:w="1511"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孙会</w:t>
            </w:r>
          </w:p>
        </w:tc>
        <w:tc>
          <w:tcPr>
            <w:tcW w:w="720"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北大核心</w:t>
            </w:r>
          </w:p>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CSCD</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科技创新与人类文明新形态”——江苏省自然辩证法研究会2022学术年会综述</w:t>
            </w:r>
          </w:p>
        </w:tc>
        <w:tc>
          <w:tcPr>
            <w:tcW w:w="1560"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南京林业大学学报(人文社会科学版)</w:t>
            </w:r>
          </w:p>
        </w:tc>
        <w:tc>
          <w:tcPr>
            <w:tcW w:w="798"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第23卷第2期</w:t>
            </w:r>
          </w:p>
        </w:tc>
        <w:tc>
          <w:tcPr>
            <w:tcW w:w="72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120-124</w:t>
            </w:r>
          </w:p>
        </w:tc>
        <w:tc>
          <w:tcPr>
            <w:tcW w:w="99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2023.04</w:t>
            </w:r>
          </w:p>
        </w:tc>
        <w:tc>
          <w:tcPr>
            <w:tcW w:w="1511"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孙会</w:t>
            </w:r>
          </w:p>
        </w:tc>
        <w:tc>
          <w:tcPr>
            <w:tcW w:w="72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省级</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以城市“人文建设”推动中国式现代化</w:t>
            </w:r>
          </w:p>
        </w:tc>
        <w:tc>
          <w:tcPr>
            <w:tcW w:w="156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rPr>
              <w:t>新华日报</w:t>
            </w:r>
          </w:p>
        </w:tc>
        <w:tc>
          <w:tcPr>
            <w:tcW w:w="798"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第312期</w:t>
            </w:r>
          </w:p>
        </w:tc>
        <w:tc>
          <w:tcPr>
            <w:tcW w:w="720"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10-10</w:t>
            </w:r>
          </w:p>
        </w:tc>
        <w:tc>
          <w:tcPr>
            <w:tcW w:w="99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2023.07</w:t>
            </w:r>
          </w:p>
        </w:tc>
        <w:tc>
          <w:tcPr>
            <w:tcW w:w="1511"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孙会</w:t>
            </w:r>
          </w:p>
        </w:tc>
        <w:tc>
          <w:tcPr>
            <w:tcW w:w="720"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省级</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6"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vAlign w:val="center"/>
          </w:tcPr>
          <w:p>
            <w:pPr>
              <w:spacing w:after="0" w:line="240" w:lineRule="auto"/>
              <w:jc w:val="center"/>
              <w:rPr>
                <w:rFonts w:hint="eastAsia" w:ascii="KaiTi_GB2312" w:eastAsia="KaiTi_GB2312"/>
                <w:sz w:val="21"/>
                <w:szCs w:val="21"/>
                <w:highlight w:val="none"/>
              </w:rPr>
            </w:pPr>
            <w:r>
              <w:rPr>
                <w:rFonts w:hint="eastAsia" w:ascii="KaiTi_GB2312" w:eastAsia="KaiTi_GB2312"/>
                <w:sz w:val="21"/>
                <w:szCs w:val="21"/>
                <w:highlight w:val="none"/>
              </w:rPr>
              <w:t xml:space="preserve">From Marx to Mumford: A philosophical Examination </w:t>
            </w:r>
          </w:p>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of Machine Technology</w:t>
            </w:r>
          </w:p>
        </w:tc>
        <w:tc>
          <w:tcPr>
            <w:tcW w:w="1560" w:type="dxa"/>
            <w:vAlign w:val="center"/>
          </w:tcPr>
          <w:p>
            <w:pPr>
              <w:spacing w:after="0" w:line="240" w:lineRule="auto"/>
              <w:jc w:val="center"/>
              <w:rPr>
                <w:rFonts w:hint="eastAsia" w:ascii="KaiTi_GB2312" w:eastAsia="KaiTi_GB2312"/>
                <w:sz w:val="24"/>
                <w:szCs w:val="28"/>
                <w:highlight w:val="none"/>
              </w:rPr>
            </w:pPr>
            <w:r>
              <w:rPr>
                <w:rFonts w:hint="eastAsia" w:ascii="KaiTi_GB2312" w:eastAsia="KaiTi_GB2312"/>
                <w:sz w:val="24"/>
                <w:szCs w:val="28"/>
                <w:highlight w:val="none"/>
              </w:rPr>
              <w:t xml:space="preserve">Iris Online Journal of </w:t>
            </w:r>
          </w:p>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rPr>
              <w:t>Arts and Social Sciences</w:t>
            </w:r>
          </w:p>
        </w:tc>
        <w:tc>
          <w:tcPr>
            <w:tcW w:w="798" w:type="dxa"/>
            <w:vAlign w:val="center"/>
          </w:tcPr>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第2卷第1期</w:t>
            </w:r>
          </w:p>
        </w:tc>
        <w:tc>
          <w:tcPr>
            <w:tcW w:w="720"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1-4</w:t>
            </w:r>
          </w:p>
        </w:tc>
        <w:tc>
          <w:tcPr>
            <w:tcW w:w="995"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2024.01</w:t>
            </w:r>
          </w:p>
        </w:tc>
        <w:tc>
          <w:tcPr>
            <w:tcW w:w="1511"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KaiTi_GB2312" w:eastAsia="KaiTi_GB2312"/>
                <w:sz w:val="21"/>
                <w:szCs w:val="21"/>
                <w:highlight w:val="none"/>
                <w:lang w:val="en-US" w:eastAsia="zh-CN"/>
              </w:rPr>
              <w:t>孙会</w:t>
            </w:r>
          </w:p>
        </w:tc>
        <w:tc>
          <w:tcPr>
            <w:tcW w:w="72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1"/>
                <w:szCs w:val="21"/>
                <w:highlight w:val="none"/>
                <w:lang w:val="en-US" w:eastAsia="zh-CN"/>
              </w:rPr>
              <w:t>国际</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6</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95" w:type="dxa"/>
            <w:vAlign w:val="center"/>
          </w:tcPr>
          <w:p>
            <w:pPr>
              <w:spacing w:after="0" w:line="240" w:lineRule="auto"/>
              <w:jc w:val="center"/>
              <w:rPr>
                <w:rFonts w:ascii="KaiTi_GB2312" w:eastAsia="KaiTi_GB2312"/>
                <w:sz w:val="24"/>
                <w:szCs w:val="28"/>
                <w:highlight w:val="none"/>
              </w:rPr>
            </w:pPr>
          </w:p>
        </w:tc>
        <w:tc>
          <w:tcPr>
            <w:tcW w:w="1511"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7</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95" w:type="dxa"/>
            <w:vAlign w:val="center"/>
          </w:tcPr>
          <w:p>
            <w:pPr>
              <w:spacing w:after="0" w:line="240" w:lineRule="auto"/>
              <w:jc w:val="center"/>
              <w:rPr>
                <w:rFonts w:ascii="KaiTi_GB2312" w:eastAsia="KaiTi_GB2312"/>
                <w:sz w:val="24"/>
                <w:szCs w:val="28"/>
                <w:highlight w:val="none"/>
              </w:rPr>
            </w:pPr>
          </w:p>
        </w:tc>
        <w:tc>
          <w:tcPr>
            <w:tcW w:w="1511"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8</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95" w:type="dxa"/>
            <w:vAlign w:val="center"/>
          </w:tcPr>
          <w:p>
            <w:pPr>
              <w:spacing w:after="0" w:line="240" w:lineRule="auto"/>
              <w:jc w:val="center"/>
              <w:rPr>
                <w:rFonts w:ascii="KaiTi_GB2312" w:eastAsia="KaiTi_GB2312"/>
                <w:sz w:val="24"/>
                <w:szCs w:val="28"/>
                <w:highlight w:val="none"/>
              </w:rPr>
            </w:pPr>
          </w:p>
        </w:tc>
        <w:tc>
          <w:tcPr>
            <w:tcW w:w="1511"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9</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95" w:type="dxa"/>
            <w:vAlign w:val="center"/>
          </w:tcPr>
          <w:p>
            <w:pPr>
              <w:spacing w:after="0" w:line="240" w:lineRule="auto"/>
              <w:jc w:val="center"/>
              <w:rPr>
                <w:rFonts w:ascii="KaiTi_GB2312" w:eastAsia="KaiTi_GB2312"/>
                <w:sz w:val="24"/>
                <w:szCs w:val="28"/>
                <w:highlight w:val="none"/>
              </w:rPr>
            </w:pPr>
          </w:p>
        </w:tc>
        <w:tc>
          <w:tcPr>
            <w:tcW w:w="1511"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10</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995" w:type="dxa"/>
            <w:vAlign w:val="center"/>
          </w:tcPr>
          <w:p>
            <w:pPr>
              <w:spacing w:after="0" w:line="240" w:lineRule="auto"/>
              <w:jc w:val="center"/>
              <w:rPr>
                <w:rFonts w:ascii="KaiTi_GB2312" w:eastAsia="KaiTi_GB2312"/>
                <w:sz w:val="24"/>
                <w:szCs w:val="28"/>
                <w:highlight w:val="none"/>
              </w:rPr>
            </w:pPr>
          </w:p>
        </w:tc>
        <w:tc>
          <w:tcPr>
            <w:tcW w:w="1511"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024" w:type="dxa"/>
            <w:gridSpan w:val="4"/>
            <w:vAlign w:val="center"/>
          </w:tcPr>
          <w:p>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679"/>
        <w:gridCol w:w="3047"/>
        <w:gridCol w:w="1943"/>
        <w:gridCol w:w="1200"/>
        <w:gridCol w:w="900"/>
        <w:gridCol w:w="1405"/>
        <w:gridCol w:w="1184"/>
        <w:gridCol w:w="150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7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芒福德人文主义城市思想研究</w:t>
            </w:r>
            <w:r>
              <w:rPr>
                <w:rFonts w:hint="eastAsia" w:ascii="KaiTi_GB2312" w:eastAsia="KaiTi_GB2312"/>
                <w:sz w:val="21"/>
                <w:szCs w:val="21"/>
                <w:highlight w:val="none"/>
              </w:rPr>
              <w:t>（2022SJYB0322）</w:t>
            </w:r>
          </w:p>
        </w:tc>
        <w:tc>
          <w:tcPr>
            <w:tcW w:w="1943"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rPr>
              <w:t>江苏高校哲学社会科学研究项目</w:t>
            </w:r>
          </w:p>
        </w:tc>
        <w:tc>
          <w:tcPr>
            <w:tcW w:w="1200"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2022年6月-2025年6月</w:t>
            </w:r>
          </w:p>
        </w:tc>
        <w:tc>
          <w:tcPr>
            <w:tcW w:w="900"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厅级</w:t>
            </w:r>
          </w:p>
        </w:tc>
        <w:tc>
          <w:tcPr>
            <w:tcW w:w="1405"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主持</w:t>
            </w:r>
          </w:p>
        </w:tc>
        <w:tc>
          <w:tcPr>
            <w:tcW w:w="1184"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在研</w:t>
            </w:r>
          </w:p>
        </w:tc>
        <w:tc>
          <w:tcPr>
            <w:tcW w:w="1500" w:type="dxa"/>
            <w:vAlign w:val="center"/>
          </w:tcPr>
          <w:p>
            <w:pPr>
              <w:spacing w:after="0" w:line="240" w:lineRule="auto"/>
              <w:jc w:val="center"/>
              <w:rPr>
                <w:rFonts w:ascii="KaiTi_GB2312" w:eastAsia="KaiTi_GB2312"/>
                <w:color w:val="000000"/>
                <w:highlight w:val="none"/>
              </w:rPr>
            </w:pPr>
          </w:p>
        </w:tc>
        <w:tc>
          <w:tcPr>
            <w:tcW w:w="1450"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“人文医学”视域下的哲学咨询与治疗研究（2022ZYWH005）</w:t>
            </w:r>
          </w:p>
        </w:tc>
        <w:tc>
          <w:tcPr>
            <w:tcW w:w="1943" w:type="dxa"/>
            <w:vAlign w:val="center"/>
          </w:tcPr>
          <w:p>
            <w:pPr>
              <w:spacing w:after="0" w:line="240" w:lineRule="auto"/>
              <w:jc w:val="center"/>
              <w:rPr>
                <w:rFonts w:hint="eastAsia" w:ascii="KaiTi_GB2312" w:eastAsia="KaiTi_GB2312"/>
                <w:highlight w:val="none"/>
              </w:rPr>
            </w:pPr>
            <w:r>
              <w:rPr>
                <w:rFonts w:hint="eastAsia" w:ascii="KaiTi_GB2312" w:eastAsia="KaiTi_GB2312"/>
                <w:highlight w:val="none"/>
                <w:lang w:val="en-US" w:eastAsia="zh-CN"/>
              </w:rPr>
              <w:t>高水平大学建设项目开放课题</w:t>
            </w:r>
          </w:p>
        </w:tc>
        <w:tc>
          <w:tcPr>
            <w:tcW w:w="1200"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2022年12月-2025年12月</w:t>
            </w:r>
          </w:p>
        </w:tc>
        <w:tc>
          <w:tcPr>
            <w:tcW w:w="900"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校级</w:t>
            </w:r>
          </w:p>
        </w:tc>
        <w:tc>
          <w:tcPr>
            <w:tcW w:w="1405"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主持</w:t>
            </w:r>
          </w:p>
        </w:tc>
        <w:tc>
          <w:tcPr>
            <w:tcW w:w="1184"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在研</w:t>
            </w: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bookmarkStart w:id="0" w:name="_GoBack"/>
      <w:bookmarkEnd w:id="0"/>
    </w:p>
    <w:p>
      <w:pPr>
        <w:spacing w:after="0" w:line="240" w:lineRule="auto"/>
        <w:rPr>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rFonts w:ascii="KaiTi_GB2312" w:eastAsia="KaiTi_GB2312"/>
                <w:color w:val="000000"/>
                <w:highlight w:val="none"/>
              </w:rPr>
            </w:pPr>
          </w:p>
        </w:tc>
        <w:tc>
          <w:tcPr>
            <w:tcW w:w="957"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bl>
    <w:p>
      <w:pPr>
        <w:spacing w:after="0" w:line="20" w:lineRule="exact"/>
        <w:rPr>
          <w:sz w:val="2"/>
          <w:szCs w:val="2"/>
          <w:highlight w:val="none"/>
        </w:rPr>
      </w:pPr>
    </w:p>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rFonts w:ascii="KaiTi_GB2312" w:eastAsia="KaiTi_GB2312"/>
                <w:color w:val="000000"/>
                <w:highlight w:val="none"/>
              </w:rPr>
            </w:pPr>
          </w:p>
        </w:tc>
        <w:tc>
          <w:tcPr>
            <w:tcW w:w="1351"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bl>
    <w:p>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295"/>
        <w:gridCol w:w="939"/>
        <w:gridCol w:w="2163"/>
        <w:gridCol w:w="1066"/>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295"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93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216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66"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295"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第十七届学术大会优秀论文二等奖</w:t>
            </w:r>
          </w:p>
          <w:p>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1"/>
                <w:szCs w:val="21"/>
                <w:highlight w:val="none"/>
                <w:lang w:val="en-US" w:eastAsia="zh-CN"/>
              </w:rPr>
              <w:t>编号：JSSKL2023MKS016</w:t>
            </w:r>
          </w:p>
        </w:tc>
        <w:tc>
          <w:tcPr>
            <w:tcW w:w="939"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省级</w:t>
            </w:r>
          </w:p>
        </w:tc>
        <w:tc>
          <w:tcPr>
            <w:tcW w:w="2163" w:type="dxa"/>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中国</w:t>
            </w:r>
          </w:p>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江苏省哲学社会科学界联合会</w:t>
            </w:r>
          </w:p>
        </w:tc>
        <w:tc>
          <w:tcPr>
            <w:tcW w:w="1066"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2023年</w:t>
            </w:r>
          </w:p>
        </w:tc>
        <w:tc>
          <w:tcPr>
            <w:tcW w:w="1074" w:type="dxa"/>
            <w:vAlign w:val="center"/>
          </w:tcPr>
          <w:p>
            <w:pPr>
              <w:spacing w:after="0" w:line="240" w:lineRule="auto"/>
              <w:jc w:val="center"/>
              <w:rPr>
                <w:rFonts w:hint="eastAsia" w:ascii="KaiTi_GB2312" w:eastAsia="KaiTi_GB2312"/>
                <w:color w:val="000000"/>
                <w:sz w:val="21"/>
                <w:szCs w:val="21"/>
                <w:highlight w:val="none"/>
                <w:lang w:val="en-US" w:eastAsia="zh-CN"/>
              </w:rPr>
            </w:pPr>
            <w:r>
              <w:rPr>
                <w:rFonts w:hint="eastAsia" w:ascii="KaiTi_GB2312" w:eastAsia="KaiTi_GB2312"/>
                <w:color w:val="000000"/>
                <w:sz w:val="21"/>
                <w:szCs w:val="21"/>
                <w:highlight w:val="none"/>
                <w:lang w:val="en-US" w:eastAsia="zh-CN"/>
              </w:rPr>
              <w:t>第一</w:t>
            </w:r>
          </w:p>
        </w:tc>
        <w:tc>
          <w:tcPr>
            <w:tcW w:w="1200" w:type="dxa"/>
            <w:vAlign w:val="center"/>
          </w:tcPr>
          <w:p>
            <w:pPr>
              <w:spacing w:after="0" w:line="240" w:lineRule="auto"/>
              <w:jc w:val="center"/>
              <w:rPr>
                <w:rFonts w:ascii="KaiTi_GB2312" w:eastAsia="KaiTi_GB2312"/>
                <w:color w:val="000000"/>
                <w:highlight w:val="none"/>
              </w:rPr>
            </w:pPr>
          </w:p>
        </w:tc>
        <w:tc>
          <w:tcPr>
            <w:tcW w:w="190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2</w:t>
            </w:r>
          </w:p>
        </w:tc>
        <w:tc>
          <w:tcPr>
            <w:tcW w:w="4295"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江苏省自然辩证法研究会学术交流优秀论文二等奖</w:t>
            </w:r>
          </w:p>
        </w:tc>
        <w:tc>
          <w:tcPr>
            <w:tcW w:w="939"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省级</w:t>
            </w:r>
          </w:p>
        </w:tc>
        <w:tc>
          <w:tcPr>
            <w:tcW w:w="2163"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中国</w:t>
            </w:r>
          </w:p>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江苏省自然辩证法研究会</w:t>
            </w:r>
          </w:p>
        </w:tc>
        <w:tc>
          <w:tcPr>
            <w:tcW w:w="1066"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2021年</w:t>
            </w:r>
          </w:p>
        </w:tc>
        <w:tc>
          <w:tcPr>
            <w:tcW w:w="1074"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w:t>
            </w: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3</w:t>
            </w:r>
          </w:p>
        </w:tc>
        <w:tc>
          <w:tcPr>
            <w:tcW w:w="4295"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江苏省“双创博士”</w:t>
            </w:r>
          </w:p>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编号：（2022）30463号</w:t>
            </w:r>
          </w:p>
        </w:tc>
        <w:tc>
          <w:tcPr>
            <w:tcW w:w="939"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省级</w:t>
            </w:r>
          </w:p>
        </w:tc>
        <w:tc>
          <w:tcPr>
            <w:tcW w:w="2163"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中国</w:t>
            </w:r>
          </w:p>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中共江苏省委组织部等</w:t>
            </w:r>
          </w:p>
        </w:tc>
        <w:tc>
          <w:tcPr>
            <w:tcW w:w="1066"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2022年</w:t>
            </w:r>
          </w:p>
        </w:tc>
        <w:tc>
          <w:tcPr>
            <w:tcW w:w="1074"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第一</w:t>
            </w: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4</w:t>
            </w:r>
          </w:p>
        </w:tc>
        <w:tc>
          <w:tcPr>
            <w:tcW w:w="4295"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南京中医药大学2022年微课比赛“特等奖”</w:t>
            </w:r>
          </w:p>
        </w:tc>
        <w:tc>
          <w:tcPr>
            <w:tcW w:w="939"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校级</w:t>
            </w:r>
          </w:p>
        </w:tc>
        <w:tc>
          <w:tcPr>
            <w:tcW w:w="2163"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中国</w:t>
            </w:r>
          </w:p>
          <w:p>
            <w:pPr>
              <w:spacing w:after="0" w:line="240" w:lineRule="auto"/>
              <w:jc w:val="center"/>
              <w:rPr>
                <w:rFonts w:hint="default" w:ascii="KaiTi_GB2312" w:eastAsia="KaiTi_GB2312"/>
                <w:sz w:val="21"/>
                <w:szCs w:val="21"/>
                <w:highlight w:val="none"/>
                <w:lang w:val="en-US"/>
              </w:rPr>
            </w:pPr>
            <w:r>
              <w:rPr>
                <w:rFonts w:hint="eastAsia" w:ascii="KaiTi_GB2312" w:eastAsia="KaiTi_GB2312"/>
                <w:sz w:val="21"/>
                <w:szCs w:val="21"/>
                <w:highlight w:val="none"/>
                <w:lang w:val="en-US" w:eastAsia="zh-CN"/>
              </w:rPr>
              <w:t>南京中医药大学教务处</w:t>
            </w:r>
          </w:p>
        </w:tc>
        <w:tc>
          <w:tcPr>
            <w:tcW w:w="1066"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2022年</w:t>
            </w:r>
          </w:p>
        </w:tc>
        <w:tc>
          <w:tcPr>
            <w:tcW w:w="1074"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第一</w:t>
            </w: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5</w:t>
            </w:r>
          </w:p>
        </w:tc>
        <w:tc>
          <w:tcPr>
            <w:tcW w:w="4295" w:type="dxa"/>
            <w:vAlign w:val="center"/>
          </w:tcPr>
          <w:p>
            <w:pPr>
              <w:spacing w:after="0" w:line="240" w:lineRule="auto"/>
              <w:jc w:val="center"/>
              <w:rPr>
                <w:rFonts w:hint="default" w:ascii="KaiTi_GB2312" w:eastAsia="KaiTi_GB2312"/>
                <w:sz w:val="21"/>
                <w:szCs w:val="21"/>
                <w:highlight w:val="none"/>
                <w:lang w:val="en-US" w:eastAsia="zh-CN"/>
              </w:rPr>
            </w:pPr>
            <w:r>
              <w:rPr>
                <w:rFonts w:hint="eastAsia" w:ascii="KaiTi_GB2312" w:eastAsia="KaiTi_GB2312"/>
                <w:sz w:val="21"/>
                <w:szCs w:val="21"/>
                <w:highlight w:val="none"/>
                <w:lang w:val="en-US" w:eastAsia="zh-CN"/>
              </w:rPr>
              <w:t>2021年新进教师说课竞赛现场说课“单项奖”</w:t>
            </w:r>
          </w:p>
        </w:tc>
        <w:tc>
          <w:tcPr>
            <w:tcW w:w="939"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校级</w:t>
            </w:r>
          </w:p>
        </w:tc>
        <w:tc>
          <w:tcPr>
            <w:tcW w:w="2163" w:type="dxa"/>
            <w:vAlign w:val="center"/>
          </w:tcPr>
          <w:p>
            <w:pPr>
              <w:spacing w:after="0" w:line="240" w:lineRule="auto"/>
              <w:jc w:val="center"/>
              <w:rPr>
                <w:rFonts w:hint="eastAsia" w:ascii="KaiTi_GB2312" w:eastAsia="KaiTi_GB2312"/>
                <w:sz w:val="21"/>
                <w:szCs w:val="21"/>
                <w:highlight w:val="none"/>
                <w:lang w:val="en-US" w:eastAsia="zh-CN"/>
              </w:rPr>
            </w:pPr>
            <w:r>
              <w:rPr>
                <w:rFonts w:hint="eastAsia" w:ascii="KaiTi_GB2312" w:eastAsia="KaiTi_GB2312"/>
                <w:sz w:val="21"/>
                <w:szCs w:val="21"/>
                <w:highlight w:val="none"/>
                <w:lang w:val="en-US" w:eastAsia="zh-CN"/>
              </w:rPr>
              <w:t>中国</w:t>
            </w:r>
          </w:p>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南京中医药大学教务处</w:t>
            </w:r>
          </w:p>
        </w:tc>
        <w:tc>
          <w:tcPr>
            <w:tcW w:w="1066"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2021年</w:t>
            </w:r>
          </w:p>
        </w:tc>
        <w:tc>
          <w:tcPr>
            <w:tcW w:w="1074" w:type="dxa"/>
            <w:vAlign w:val="center"/>
          </w:tcPr>
          <w:p>
            <w:pPr>
              <w:spacing w:after="0" w:line="240" w:lineRule="auto"/>
              <w:jc w:val="center"/>
              <w:rPr>
                <w:rFonts w:ascii="KaiTi_GB2312" w:eastAsia="KaiTi_GB2312"/>
                <w:sz w:val="21"/>
                <w:szCs w:val="21"/>
                <w:highlight w:val="none"/>
              </w:rPr>
            </w:pPr>
            <w:r>
              <w:rPr>
                <w:rFonts w:hint="eastAsia" w:ascii="KaiTi_GB2312" w:eastAsia="KaiTi_GB2312"/>
                <w:sz w:val="21"/>
                <w:szCs w:val="21"/>
                <w:highlight w:val="none"/>
                <w:lang w:val="en-US" w:eastAsia="zh-CN"/>
              </w:rPr>
              <w:t>第一</w:t>
            </w: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6921" w:type="dxa"/>
            <w:gridSpan w:val="4"/>
            <w:vAlign w:val="center"/>
          </w:tcPr>
          <w:p>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3229" w:type="dxa"/>
            <w:gridSpan w:val="2"/>
            <w:vAlign w:val="center"/>
          </w:tcPr>
          <w:p>
            <w:pPr>
              <w:spacing w:after="0" w:line="240" w:lineRule="auto"/>
              <w:rPr>
                <w:rFonts w:ascii="KaiTi_GB2312" w:eastAsia="KaiTi_GB2312"/>
                <w:highlight w:val="none"/>
              </w:rPr>
            </w:pPr>
            <w:r>
              <w:rPr>
                <w:rFonts w:hint="eastAsia" w:ascii="KaiTi_GB2312" w:eastAsia="KaiTi_GB2312"/>
                <w:highlight w:val="none"/>
              </w:rPr>
              <w:t>□符合</w:t>
            </w:r>
          </w:p>
          <w:p>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pPr w:leftFromText="180" w:rightFromText="180" w:vertAnchor="text" w:horzAnchor="page" w:tblpX="1532"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487"/>
        <w:gridCol w:w="2487"/>
        <w:gridCol w:w="379"/>
        <w:gridCol w:w="2456"/>
        <w:gridCol w:w="709"/>
        <w:gridCol w:w="1417"/>
        <w:gridCol w:w="567"/>
        <w:gridCol w:w="709"/>
        <w:gridCol w:w="85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5"/>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tcPr>
          <w:p>
            <w:pPr>
              <w:spacing w:after="0" w:line="240" w:lineRule="auto"/>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执业单位（机构）名称</w:t>
            </w:r>
          </w:p>
        </w:tc>
        <w:tc>
          <w:tcPr>
            <w:tcW w:w="11466" w:type="dxa"/>
            <w:gridSpan w:val="9"/>
            <w:vAlign w:val="center"/>
          </w:tcPr>
          <w:p>
            <w:pPr>
              <w:spacing w:after="0" w:line="240" w:lineRule="auto"/>
              <w:jc w:val="center"/>
              <w:rPr>
                <w:rFonts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sz w:val="20"/>
                <w:szCs w:val="22"/>
                <w:highlight w:val="none"/>
              </w:rPr>
            </w:pPr>
            <w:r>
              <w:rPr>
                <w:rFonts w:eastAsia="KaiTi_GB2312"/>
                <w:sz w:val="20"/>
                <w:szCs w:val="22"/>
                <w:highlight w:val="none"/>
              </w:rPr>
              <w:t>从事临床工作时间</w:t>
            </w:r>
          </w:p>
          <w:p>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2</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5"/>
            <w:vAlign w:val="center"/>
          </w:tcPr>
          <w:p>
            <w:pPr>
              <w:spacing w:after="0" w:line="240" w:lineRule="auto"/>
              <w:jc w:val="center"/>
              <w:rPr>
                <w:rFonts w:eastAsia="KaiTi_GB2312"/>
                <w:highlight w:val="none"/>
              </w:rPr>
            </w:pPr>
            <w:r>
              <w:rPr>
                <w:rFonts w:eastAsia="KaiTi_GB2312"/>
                <w:highlight w:val="none"/>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项目/年度</w:t>
            </w:r>
          </w:p>
        </w:tc>
        <w:tc>
          <w:tcPr>
            <w:tcW w:w="2487" w:type="dxa"/>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3544"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2</w:t>
            </w:r>
            <w:r>
              <w:rPr>
                <w:rFonts w:eastAsia="KaiTi_GB2312"/>
                <w:highlight w:val="none"/>
              </w:rPr>
              <w:t>年</w:t>
            </w:r>
          </w:p>
        </w:tc>
        <w:tc>
          <w:tcPr>
            <w:tcW w:w="2693"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21</w:t>
            </w:r>
            <w:r>
              <w:rPr>
                <w:rFonts w:eastAsia="KaiTi_GB2312"/>
                <w:highlight w:val="none"/>
              </w:rPr>
              <w:t>年</w:t>
            </w:r>
          </w:p>
        </w:tc>
        <w:tc>
          <w:tcPr>
            <w:tcW w:w="2742"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highlight w:val="none"/>
              </w:rPr>
            </w:pPr>
          </w:p>
        </w:tc>
        <w:tc>
          <w:tcPr>
            <w:tcW w:w="2693" w:type="dxa"/>
            <w:gridSpan w:val="3"/>
            <w:vAlign w:val="center"/>
          </w:tcPr>
          <w:p>
            <w:pPr>
              <w:spacing w:after="0" w:line="240" w:lineRule="auto"/>
              <w:jc w:val="center"/>
              <w:rPr>
                <w:rFonts w:eastAsia="KaiTi_GB2312"/>
                <w:highlight w:val="none"/>
              </w:rPr>
            </w:pPr>
          </w:p>
        </w:tc>
        <w:tc>
          <w:tcPr>
            <w:tcW w:w="2742" w:type="dxa"/>
            <w:gridSpan w:val="2"/>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pPr>
              <w:spacing w:after="0" w:line="240" w:lineRule="auto"/>
              <w:jc w:val="left"/>
              <w:rPr>
                <w:rFonts w:ascii="KaiTi_GB2312" w:eastAsia="KaiTi_GB2312"/>
                <w:highlight w:val="none"/>
              </w:rPr>
            </w:pPr>
            <w:r>
              <w:rPr>
                <w:rFonts w:hint="eastAsia" w:ascii="KaiTi_GB2312" w:eastAsia="KaiTi_GB2312"/>
                <w:highlight w:val="none"/>
              </w:rPr>
              <w:t>□属实</w:t>
            </w:r>
          </w:p>
          <w:p>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5"/>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gridSpan w:val="6"/>
            <w:vAlign w:val="center"/>
          </w:tcPr>
          <w:p>
            <w:pPr>
              <w:spacing w:after="0" w:line="240" w:lineRule="auto"/>
              <w:rPr>
                <w:rFonts w:ascii="华文中宋" w:hAnsi="华文中宋" w:eastAsia="华文中宋"/>
                <w:b/>
                <w:highlight w:val="none"/>
              </w:rPr>
            </w:pPr>
            <w:r>
              <w:rPr>
                <w:rFonts w:hint="eastAsia" w:ascii="华文中宋" w:hAnsi="华文中宋" w:eastAsia="华文中宋"/>
                <w:b/>
                <w:highlight w:val="none"/>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本人签名</w:t>
            </w:r>
          </w:p>
          <w:p>
            <w:pPr>
              <w:spacing w:after="0" w:line="240" w:lineRule="auto"/>
              <w:jc w:val="center"/>
              <w:rPr>
                <w:rFonts w:ascii="KaiTi_GB2312" w:eastAsia="KaiTi_GB2312"/>
                <w:highlight w:val="none"/>
              </w:rPr>
            </w:pPr>
            <w:r>
              <w:rPr>
                <w:rFonts w:hint="eastAsia" w:ascii="KaiTi_GB2312" w:eastAsia="KaiTi_GB2312"/>
                <w:highlight w:val="none"/>
              </w:rPr>
              <w:t>（手写、不得打印）</w:t>
            </w:r>
          </w:p>
        </w:tc>
        <w:tc>
          <w:tcPr>
            <w:tcW w:w="3451" w:type="dxa"/>
            <w:gridSpan w:val="3"/>
            <w:vAlign w:val="center"/>
          </w:tcPr>
          <w:p>
            <w:pPr>
              <w:spacing w:after="0" w:line="240" w:lineRule="auto"/>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3451" w:type="dxa"/>
            <w:gridSpan w:val="3"/>
          </w:tcPr>
          <w:p>
            <w:pPr>
              <w:spacing w:after="0" w:line="240" w:lineRule="auto"/>
              <w:jc w:val="left"/>
              <w:rPr>
                <w:rFonts w:ascii="KaiTi_GB2312" w:eastAsia="KaiTi_GB2312"/>
                <w:highlight w:val="none"/>
              </w:rPr>
            </w:pPr>
            <w:r>
              <w:rPr>
                <w:rFonts w:hint="eastAsia" w:ascii="KaiTi_GB2312" w:eastAsia="KaiTi_GB2312"/>
                <w:highlight w:val="none"/>
              </w:rPr>
              <w:t>单位（部门）主要</w:t>
            </w:r>
          </w:p>
          <w:p>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pPr>
        <w:spacing w:after="0" w:line="20" w:lineRule="exact"/>
        <w:rPr>
          <w:rFonts w:ascii="KaiTi_GB2312" w:eastAsia="KaiTi_GB2312"/>
          <w:sz w:val="2"/>
          <w:szCs w:val="2"/>
          <w:highlight w:val="none"/>
        </w:rPr>
      </w:pPr>
    </w:p>
    <w:p>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pPr>
        <w:spacing w:after="0" w:line="280" w:lineRule="exact"/>
        <w:rPr>
          <w:rFonts w:ascii="黑体" w:hAnsi="黑体" w:eastAsia="黑体"/>
          <w:sz w:val="18"/>
          <w:szCs w:val="21"/>
          <w:highlight w:val="yellow"/>
        </w:rPr>
      </w:pPr>
      <w:r>
        <w:rPr>
          <w:rFonts w:hint="eastAsia" w:ascii="黑体" w:hAnsi="黑体" w:eastAsia="黑体"/>
          <w:spacing w:val="-11"/>
          <w:highlight w:val="none"/>
          <w:lang w:val="en-US" w:eastAsia="zh-CN"/>
        </w:rPr>
        <w:t xml:space="preserve">       2.</w:t>
      </w: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NmRhYTAyODAzZjYyZTk2MGIzMDlhOGQzNzVlMDE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342540E"/>
    <w:rsid w:val="034355BB"/>
    <w:rsid w:val="044200FD"/>
    <w:rsid w:val="04460D37"/>
    <w:rsid w:val="05183545"/>
    <w:rsid w:val="05673FB0"/>
    <w:rsid w:val="05744AE5"/>
    <w:rsid w:val="05B3223F"/>
    <w:rsid w:val="05E23CCE"/>
    <w:rsid w:val="05E253D7"/>
    <w:rsid w:val="06A0763D"/>
    <w:rsid w:val="090537D6"/>
    <w:rsid w:val="09133BC6"/>
    <w:rsid w:val="096A659B"/>
    <w:rsid w:val="09AA1CCF"/>
    <w:rsid w:val="0A40191B"/>
    <w:rsid w:val="0A8A5E59"/>
    <w:rsid w:val="0BB8447D"/>
    <w:rsid w:val="0E8042DE"/>
    <w:rsid w:val="0F3A7115"/>
    <w:rsid w:val="0FCB4CF7"/>
    <w:rsid w:val="11C13A3E"/>
    <w:rsid w:val="153D4CB5"/>
    <w:rsid w:val="16B15FDF"/>
    <w:rsid w:val="19FA176A"/>
    <w:rsid w:val="1B0A3A5F"/>
    <w:rsid w:val="1C2A6A48"/>
    <w:rsid w:val="1CE367E1"/>
    <w:rsid w:val="1E0E09D1"/>
    <w:rsid w:val="1EAA4F67"/>
    <w:rsid w:val="1F585DA6"/>
    <w:rsid w:val="2168283E"/>
    <w:rsid w:val="21C653B6"/>
    <w:rsid w:val="21FA45E1"/>
    <w:rsid w:val="223D28BB"/>
    <w:rsid w:val="230A6224"/>
    <w:rsid w:val="27C153EF"/>
    <w:rsid w:val="27C86FF5"/>
    <w:rsid w:val="29317AB2"/>
    <w:rsid w:val="2A862824"/>
    <w:rsid w:val="2BB4263A"/>
    <w:rsid w:val="2C72005E"/>
    <w:rsid w:val="30AC742E"/>
    <w:rsid w:val="312F1868"/>
    <w:rsid w:val="32416098"/>
    <w:rsid w:val="32E27594"/>
    <w:rsid w:val="332F73C6"/>
    <w:rsid w:val="33666E2C"/>
    <w:rsid w:val="355667E7"/>
    <w:rsid w:val="35E81EE3"/>
    <w:rsid w:val="363F5855"/>
    <w:rsid w:val="37A725AE"/>
    <w:rsid w:val="39B7049B"/>
    <w:rsid w:val="3A581EFE"/>
    <w:rsid w:val="3F0E305B"/>
    <w:rsid w:val="401F76AD"/>
    <w:rsid w:val="40994E9A"/>
    <w:rsid w:val="413C2639"/>
    <w:rsid w:val="41A6718C"/>
    <w:rsid w:val="41FC2F29"/>
    <w:rsid w:val="44A5484E"/>
    <w:rsid w:val="44B6394B"/>
    <w:rsid w:val="44C714E1"/>
    <w:rsid w:val="44F3072F"/>
    <w:rsid w:val="459F708E"/>
    <w:rsid w:val="46156488"/>
    <w:rsid w:val="46852FD9"/>
    <w:rsid w:val="476129D5"/>
    <w:rsid w:val="48EF7A72"/>
    <w:rsid w:val="49FA24FE"/>
    <w:rsid w:val="4B48647C"/>
    <w:rsid w:val="4D03364C"/>
    <w:rsid w:val="4D160EFC"/>
    <w:rsid w:val="4E97263A"/>
    <w:rsid w:val="4F801C17"/>
    <w:rsid w:val="50851EF4"/>
    <w:rsid w:val="51F61C04"/>
    <w:rsid w:val="53746D1D"/>
    <w:rsid w:val="551F1AD3"/>
    <w:rsid w:val="55361C28"/>
    <w:rsid w:val="55CA48D5"/>
    <w:rsid w:val="57006BA1"/>
    <w:rsid w:val="57D93D89"/>
    <w:rsid w:val="5B1A473F"/>
    <w:rsid w:val="5CA95708"/>
    <w:rsid w:val="5CE860A3"/>
    <w:rsid w:val="5D201440"/>
    <w:rsid w:val="5DAC4188"/>
    <w:rsid w:val="5DE74090"/>
    <w:rsid w:val="6015795B"/>
    <w:rsid w:val="60AC302E"/>
    <w:rsid w:val="61087E26"/>
    <w:rsid w:val="64052BF6"/>
    <w:rsid w:val="658B1BFB"/>
    <w:rsid w:val="664264AE"/>
    <w:rsid w:val="66966C6B"/>
    <w:rsid w:val="6735657C"/>
    <w:rsid w:val="678B6CAB"/>
    <w:rsid w:val="67A83750"/>
    <w:rsid w:val="682F6D20"/>
    <w:rsid w:val="69885C17"/>
    <w:rsid w:val="6A8144D5"/>
    <w:rsid w:val="6B7C571A"/>
    <w:rsid w:val="6C67371B"/>
    <w:rsid w:val="6D800F2C"/>
    <w:rsid w:val="6F291EA9"/>
    <w:rsid w:val="6FE26D19"/>
    <w:rsid w:val="70713D71"/>
    <w:rsid w:val="70D4548B"/>
    <w:rsid w:val="71EF4234"/>
    <w:rsid w:val="71FF0F7D"/>
    <w:rsid w:val="73A001F1"/>
    <w:rsid w:val="741C4C2C"/>
    <w:rsid w:val="753217D6"/>
    <w:rsid w:val="76A3768D"/>
    <w:rsid w:val="78050629"/>
    <w:rsid w:val="783A1613"/>
    <w:rsid w:val="78FB3E2A"/>
    <w:rsid w:val="7AAE4BA6"/>
    <w:rsid w:val="7B2F4878"/>
    <w:rsid w:val="7BB35EC1"/>
    <w:rsid w:val="7D6708DB"/>
    <w:rsid w:val="7EA21B3B"/>
    <w:rsid w:val="7F7A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7</Pages>
  <Words>2894</Words>
  <Characters>3291</Characters>
  <Lines>21</Lines>
  <Paragraphs>5</Paragraphs>
  <TotalTime>3</TotalTime>
  <ScaleCrop>false</ScaleCrop>
  <LinksUpToDate>false</LinksUpToDate>
  <CharactersWithSpaces>3335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琼</cp:lastModifiedBy>
  <cp:lastPrinted>2024-05-22T07:10:00Z</cp:lastPrinted>
  <dcterms:modified xsi:type="dcterms:W3CDTF">2024-05-31T06:55:08Z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ies>
</file>